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DB" w:rsidRPr="00B0056C" w:rsidRDefault="008D37E4" w:rsidP="0039295D">
      <w:pPr>
        <w:pStyle w:val="GvdeMetni"/>
        <w:spacing w:line="312" w:lineRule="auto"/>
        <w:ind w:left="0"/>
        <w:jc w:val="center"/>
        <w:rPr>
          <w:b/>
          <w:i/>
          <w:sz w:val="26"/>
          <w:szCs w:val="26"/>
          <w:u w:val="single"/>
        </w:rPr>
      </w:pPr>
      <w:r w:rsidRPr="00B0056C">
        <w:rPr>
          <w:b/>
          <w:i/>
          <w:sz w:val="26"/>
          <w:szCs w:val="26"/>
          <w:u w:val="single"/>
        </w:rPr>
        <w:t>Halime Hatun Anaokulu</w:t>
      </w:r>
      <w:r w:rsidR="00A87313" w:rsidRPr="00B0056C">
        <w:rPr>
          <w:b/>
          <w:i/>
          <w:sz w:val="26"/>
          <w:szCs w:val="26"/>
          <w:u w:val="single"/>
        </w:rPr>
        <w:t xml:space="preserve"> adına benimsemiş olduğumuz </w:t>
      </w:r>
      <w:r w:rsidR="00EF14B3" w:rsidRPr="00B0056C">
        <w:rPr>
          <w:b/>
          <w:i/>
          <w:sz w:val="26"/>
          <w:szCs w:val="26"/>
          <w:u w:val="single"/>
        </w:rPr>
        <w:t>Entegre</w:t>
      </w:r>
      <w:r w:rsidR="00D6635F" w:rsidRPr="00B0056C">
        <w:rPr>
          <w:b/>
          <w:i/>
          <w:sz w:val="26"/>
          <w:szCs w:val="26"/>
          <w:u w:val="single"/>
        </w:rPr>
        <w:t xml:space="preserve"> politikamız</w:t>
      </w:r>
    </w:p>
    <w:p w:rsidR="0039295D" w:rsidRPr="00B0056C" w:rsidRDefault="0039295D" w:rsidP="0039295D">
      <w:pPr>
        <w:spacing w:line="360" w:lineRule="auto"/>
        <w:ind w:firstLine="360"/>
        <w:rPr>
          <w:rFonts w:ascii="Times New Roman" w:hAnsi="Times New Roman" w:cs="Times New Roman"/>
          <w:sz w:val="26"/>
          <w:szCs w:val="26"/>
        </w:rPr>
      </w:pPr>
      <w:r w:rsidRPr="00B0056C">
        <w:rPr>
          <w:rFonts w:ascii="Times New Roman" w:hAnsi="Times New Roman" w:cs="Times New Roman"/>
          <w:sz w:val="26"/>
          <w:szCs w:val="26"/>
        </w:rPr>
        <w:t>Eğitim-öğretim  faaliyeti yapan kurumumuz aşağıdaki ilkeleri Entegre politikası olarak benimser;</w:t>
      </w:r>
    </w:p>
    <w:p w:rsidR="0039295D" w:rsidRPr="00B0056C" w:rsidRDefault="0039295D" w:rsidP="0039295D">
      <w:pPr>
        <w:pStyle w:val="GvdeMetni"/>
        <w:numPr>
          <w:ilvl w:val="0"/>
          <w:numId w:val="9"/>
        </w:numPr>
        <w:spacing w:line="312" w:lineRule="auto"/>
        <w:jc w:val="both"/>
        <w:rPr>
          <w:rFonts w:asciiTheme="minorHAnsi" w:hAnsiTheme="minorHAnsi"/>
          <w:sz w:val="26"/>
          <w:szCs w:val="26"/>
        </w:rPr>
      </w:pPr>
      <w:r w:rsidRPr="00B0056C">
        <w:rPr>
          <w:sz w:val="26"/>
          <w:szCs w:val="26"/>
        </w:rPr>
        <w:t>İşle ilgili yaralanma ve sağlığın bozulmasının önlenmesi için güvenli ve sağlıklı çalışma koşu</w:t>
      </w:r>
      <w:r w:rsidR="008C74A0" w:rsidRPr="00B0056C">
        <w:rPr>
          <w:sz w:val="26"/>
          <w:szCs w:val="26"/>
        </w:rPr>
        <w:t xml:space="preserve">llarının sağlanmasına ve kalite, </w:t>
      </w:r>
      <w:r w:rsidR="00F65547" w:rsidRPr="00B0056C">
        <w:rPr>
          <w:sz w:val="26"/>
          <w:szCs w:val="26"/>
        </w:rPr>
        <w:t>İş Sağlığı ve Güvenliği</w:t>
      </w:r>
      <w:r w:rsidRPr="00B0056C">
        <w:rPr>
          <w:sz w:val="26"/>
          <w:szCs w:val="26"/>
        </w:rPr>
        <w:t>,</w:t>
      </w:r>
      <w:r w:rsidR="00F65547" w:rsidRPr="00B0056C">
        <w:rPr>
          <w:sz w:val="26"/>
          <w:szCs w:val="26"/>
        </w:rPr>
        <w:t xml:space="preserve"> </w:t>
      </w:r>
      <w:r w:rsidRPr="00B0056C">
        <w:rPr>
          <w:sz w:val="26"/>
          <w:szCs w:val="26"/>
        </w:rPr>
        <w:t>çevre  kültürünün kazanılmasını ,sağlamaktır.</w:t>
      </w:r>
    </w:p>
    <w:p w:rsidR="0039295D" w:rsidRPr="00B0056C" w:rsidRDefault="0039295D" w:rsidP="0039295D">
      <w:pPr>
        <w:pStyle w:val="GvdeMetni"/>
        <w:numPr>
          <w:ilvl w:val="0"/>
          <w:numId w:val="9"/>
        </w:numPr>
        <w:spacing w:line="312" w:lineRule="auto"/>
        <w:jc w:val="both"/>
        <w:rPr>
          <w:rFonts w:cs="Times New Roman"/>
          <w:sz w:val="26"/>
          <w:szCs w:val="26"/>
        </w:rPr>
      </w:pPr>
      <w:r w:rsidRPr="00B0056C">
        <w:rPr>
          <w:rFonts w:cs="Times New Roman"/>
          <w:color w:val="222222"/>
          <w:sz w:val="26"/>
          <w:szCs w:val="26"/>
          <w:shd w:val="clear" w:color="auto" w:fill="FFFFFF"/>
        </w:rPr>
        <w:t>Kuruluşumuz, Entegre hedeflerine yani amaçlarına ulaşmak için programlar hazırlar  ve sürdürür, sistem hedefleri ile çerçeve oluşturarak taahhüt eder.</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Tüm personelimize, öğrencilerimize, okulumuz tedarikçilerine, misafir ve ziyaretçileri gibi okulumuz yetkisi dâhilindeki alanları kullanan tüm kişilere de sağlıklı ve güvenli ortamlar sağlamayı taahhüt eder. Tüm personel ve çalışların da desteğine ihtiyaç duyulduğunu taahhüt eder.Bu taahhüdünü, yürütülen tüm hizmetler ve çalışanlarının yer aldığı tüm faaliyetlerle birleştirdiği İş Sağlığı Ve Güvenliği Yönetim Sistemi yoluyla göstermektedir.</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Okulumuz bünyesinde eğitim almış tüm öğrencilerimizin iş sağlığı ve güvenliğini anlamış ve hayatlarında uyguluyor olmaları hedeflenmiştir. ’’Güvenli Ortam, Güvenli Gelecek’’ sloganıyla güvenli okul kavramını oluşturarak riskleri en aza indirmektir.</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Tüm çalışanların, öğrencilerin, ziyaretçilerin sağlıklarını ve güvenliklerini iyileştirmek amacıyla alınacak önlemlerin geliştirilmesi ve desteklenmesi için etkin katılımı teşvik ederek kurumda bir iş güvenliği kültürü oluşturmak,</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Yürürlükte olan tüm İSG mevzuatı, düzenlemeleri ve standartları ile uyumlu çalışmak,</w:t>
      </w:r>
    </w:p>
    <w:p w:rsidR="0039295D" w:rsidRPr="00B0056C" w:rsidRDefault="0039295D" w:rsidP="0039295D">
      <w:pPr>
        <w:pStyle w:val="GvdeMetni"/>
        <w:widowControl/>
        <w:numPr>
          <w:ilvl w:val="1"/>
          <w:numId w:val="9"/>
        </w:numPr>
        <w:spacing w:after="120" w:line="312" w:lineRule="auto"/>
        <w:jc w:val="both"/>
        <w:rPr>
          <w:sz w:val="26"/>
          <w:szCs w:val="26"/>
        </w:rPr>
      </w:pPr>
      <w:r w:rsidRPr="00B0056C">
        <w:rPr>
          <w:sz w:val="26"/>
          <w:szCs w:val="26"/>
        </w:rPr>
        <w:t>Okulumuzda yürütülen faaliyetlere uygun iş sağlığı ve güvenliği yönetim sistemini oluşturmak ve bu sistemin uygulanmasını,</w:t>
      </w:r>
      <w:r w:rsidR="00EE3EE8" w:rsidRPr="00B0056C">
        <w:rPr>
          <w:sz w:val="26"/>
          <w:szCs w:val="26"/>
        </w:rPr>
        <w:t xml:space="preserve"> </w:t>
      </w:r>
      <w:r w:rsidRPr="00B0056C">
        <w:rPr>
          <w:sz w:val="26"/>
          <w:szCs w:val="26"/>
        </w:rPr>
        <w:t>sürekliliğini sağlamak,bunu sağlarken çalışanların , çalışan temsilcilerinin danışma ve katılımını taahhüt eder.</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Okulumuz içinde planlar, politikalar, sistemler, prosedürler, Prosesler,</w:t>
      </w:r>
      <w:r w:rsidR="00B46782">
        <w:rPr>
          <w:sz w:val="26"/>
          <w:szCs w:val="26"/>
        </w:rPr>
        <w:t xml:space="preserve"> </w:t>
      </w:r>
      <w:r w:rsidRPr="00B0056C">
        <w:rPr>
          <w:sz w:val="26"/>
          <w:szCs w:val="26"/>
        </w:rPr>
        <w:t>bilgilendirmeler, eğitimler kurumsal yapılanmalar oluşturmak amacıyla etkili İSG uygulamalarını desteklemek ve bunların sürekliliğini sağlamak,</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lastRenderedPageBreak/>
        <w:t>Entegre bilincinin geliştirilmesi, yerleştirilmesi ve sürekliliğinin sağlanması için eğitimler yapmayı, tedarikçilerimizden ISO 45001 / 2018  İş Sağlığı ve Güvenliği, ISO 9001/2015 Kalite ve ISO 14001/2015 Çevre Yönetim Sistemi  Standardına uygun çalışma yapmalarını istemek,</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Güvenli çalışma için çalışanlara gerekli çalışma alanı oluşturmak ve gerekli ekipmanı sağlamak,</w:t>
      </w:r>
    </w:p>
    <w:p w:rsidR="0039295D" w:rsidRPr="00B0056C" w:rsidRDefault="0039295D" w:rsidP="0039295D">
      <w:pPr>
        <w:pStyle w:val="GvdeMetni"/>
        <w:numPr>
          <w:ilvl w:val="0"/>
          <w:numId w:val="9"/>
        </w:numPr>
        <w:spacing w:line="312" w:lineRule="auto"/>
        <w:jc w:val="both"/>
        <w:rPr>
          <w:rFonts w:cs="Times New Roman"/>
          <w:sz w:val="26"/>
          <w:szCs w:val="26"/>
        </w:rPr>
      </w:pPr>
      <w:r w:rsidRPr="00B0056C">
        <w:rPr>
          <w:sz w:val="26"/>
          <w:szCs w:val="26"/>
        </w:rPr>
        <w:t>Kurumumuz  faaliyetlerini uygun olması için,</w:t>
      </w:r>
      <w:r w:rsidRPr="00B0056C">
        <w:rPr>
          <w:rFonts w:ascii="Tahoma" w:hAnsi="Tahoma" w:cs="Tahoma"/>
          <w:color w:val="222222"/>
          <w:sz w:val="26"/>
          <w:szCs w:val="26"/>
          <w:shd w:val="clear" w:color="auto" w:fill="FFFFFF"/>
        </w:rPr>
        <w:t xml:space="preserve"> </w:t>
      </w:r>
      <w:r w:rsidRPr="00B0056C">
        <w:rPr>
          <w:rFonts w:cs="Times New Roman"/>
          <w:color w:val="222222"/>
          <w:sz w:val="26"/>
          <w:szCs w:val="26"/>
          <w:shd w:val="clear" w:color="auto" w:fill="FFFFFF"/>
        </w:rPr>
        <w:t>Düzeltici faaliyetler,</w:t>
      </w:r>
      <w:r w:rsidR="00EE3EE8" w:rsidRPr="00B0056C">
        <w:rPr>
          <w:rFonts w:cs="Times New Roman"/>
          <w:color w:val="222222"/>
          <w:sz w:val="26"/>
          <w:szCs w:val="26"/>
          <w:shd w:val="clear" w:color="auto" w:fill="FFFFFF"/>
        </w:rPr>
        <w:t xml:space="preserve"> </w:t>
      </w:r>
      <w:r w:rsidRPr="00B0056C">
        <w:rPr>
          <w:rFonts w:cs="Times New Roman"/>
          <w:color w:val="222222"/>
          <w:sz w:val="26"/>
          <w:szCs w:val="26"/>
          <w:shd w:val="clear" w:color="auto" w:fill="FFFFFF"/>
        </w:rPr>
        <w:t>Önleyici faaliyet, Tetkik sonuçlarının yönetime bildirilmesi faaliyetlerini,Yönetimin Gözden geçirilmesi faaliyetini,takip eder ve doküman te edilmesini</w:t>
      </w:r>
    </w:p>
    <w:p w:rsidR="0039295D" w:rsidRPr="00B0056C" w:rsidRDefault="0039295D" w:rsidP="0039295D">
      <w:pPr>
        <w:pStyle w:val="GvdeMetni"/>
        <w:numPr>
          <w:ilvl w:val="0"/>
          <w:numId w:val="9"/>
        </w:numPr>
        <w:spacing w:line="312" w:lineRule="auto"/>
        <w:jc w:val="both"/>
        <w:rPr>
          <w:rFonts w:cs="Times New Roman"/>
          <w:sz w:val="26"/>
          <w:szCs w:val="26"/>
        </w:rPr>
      </w:pPr>
      <w:r w:rsidRPr="00B0056C">
        <w:rPr>
          <w:rFonts w:cs="Times New Roman"/>
          <w:color w:val="222222"/>
          <w:sz w:val="26"/>
          <w:szCs w:val="26"/>
          <w:shd w:val="clear" w:color="auto" w:fill="FFFFFF"/>
        </w:rPr>
        <w:t>Tehlikeleri ortadan kaldırmak ve İSG Risklere hemen müdahale etmek için Acil durum veya ani tehlikeler karşısında tüm çalışanların korunması için gerekli bilgi, dahili haberleşme ve koordinasyon sağlanması</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Okulumuzdaki çalışan sağlığını ve iş güvenliğini olumsuz etkileyen olayları araştırmak ve gerekli tedbirleri almak,</w:t>
      </w:r>
    </w:p>
    <w:p w:rsidR="0039295D" w:rsidRPr="00B0056C" w:rsidRDefault="0039295D" w:rsidP="0039295D">
      <w:pPr>
        <w:pStyle w:val="GvdeMetni"/>
        <w:numPr>
          <w:ilvl w:val="0"/>
          <w:numId w:val="9"/>
        </w:numPr>
        <w:spacing w:line="312" w:lineRule="auto"/>
        <w:jc w:val="both"/>
        <w:rPr>
          <w:rFonts w:cs="Times New Roman"/>
          <w:sz w:val="26"/>
          <w:szCs w:val="26"/>
        </w:rPr>
      </w:pPr>
      <w:r w:rsidRPr="00B0056C">
        <w:rPr>
          <w:rFonts w:cs="Times New Roman"/>
          <w:color w:val="222222"/>
          <w:sz w:val="26"/>
          <w:szCs w:val="26"/>
          <w:shd w:val="clear" w:color="auto" w:fill="FFFFFF"/>
        </w:rPr>
        <w:t>Yasal şartlar ve diğer şartları  mevzuatı gerekliliklerini yerine getirmeyi</w:t>
      </w:r>
    </w:p>
    <w:p w:rsidR="0039295D" w:rsidRPr="00B0056C" w:rsidRDefault="0039295D" w:rsidP="0039295D">
      <w:pPr>
        <w:pStyle w:val="GvdeMetni"/>
        <w:numPr>
          <w:ilvl w:val="0"/>
          <w:numId w:val="9"/>
        </w:numPr>
        <w:spacing w:line="312" w:lineRule="auto"/>
        <w:jc w:val="both"/>
        <w:rPr>
          <w:sz w:val="26"/>
          <w:szCs w:val="26"/>
        </w:rPr>
      </w:pPr>
      <w:r w:rsidRPr="00B0056C">
        <w:rPr>
          <w:sz w:val="26"/>
          <w:szCs w:val="26"/>
        </w:rPr>
        <w:t>Bu doğrultuda kurulan ve yürütülmekte olan İş Sağlığı ve Güvenliği Yönetim Sistemimizin sürekliliğini sağlamayı</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Kalite olarak Kuruluşun amacına uygunluğunu, </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Kalite Şartlara uyulacağına ve kalite yönetim sisteminin etkinliğinin sürekli iyileştirileceğine dair bir taahhüt olması</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Kalite hedeflerinin oluşturulması ve gözden geçirilmesi için bir çerçeve sağlamasını, </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Kuruluş içinde iletilmesini ve anlaşılmasını sağlamak ile</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  Uygunluğunun sürekliliğinin gözden geçirilmesini, güvence altına almayı</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Çevre olarak kuruluşun; yapısı, ölçeği ve faaliyetleri, ürünleri ve hizmetlerinin çevresel etkileri dahil, kuruluşun amaç ve bağlamı ile uygunluğunu</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 Çevre amaçlarının belirlenmesi için bir çerçeve sağlamasını</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lastRenderedPageBreak/>
        <w:t>Kirliliğin önlenmesi ve kuruluşun bağlamına uygun diğer belirli taahhüt/taahhütler dahil, çevrenin korunmasını içeren bir taahhütü</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Çevreyi korumak için diğer belirli taahhüt/taahhütler; sürdürülebilir kaynak kullanımı, iklim değişikliğinin azaltılması ve uyumu ile biyoçeşitlilik ve ekosistemlerin korunmasını </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 Uygunluk yükümlülüklerinin yerine getirileceğine dair bilgi</w:t>
      </w:r>
    </w:p>
    <w:p w:rsidR="0039295D" w:rsidRPr="00B0056C" w:rsidRDefault="0039295D" w:rsidP="0039295D">
      <w:pPr>
        <w:pStyle w:val="GvdeMetni"/>
        <w:widowControl/>
        <w:numPr>
          <w:ilvl w:val="1"/>
          <w:numId w:val="10"/>
        </w:numPr>
        <w:spacing w:after="120" w:line="312" w:lineRule="auto"/>
        <w:jc w:val="both"/>
        <w:rPr>
          <w:sz w:val="26"/>
          <w:szCs w:val="26"/>
        </w:rPr>
      </w:pPr>
      <w:r w:rsidRPr="00B0056C">
        <w:rPr>
          <w:sz w:val="26"/>
          <w:szCs w:val="26"/>
        </w:rPr>
        <w:t xml:space="preserve"> Çevre performansının arttırılması için çevre yönetim sisteminin sürekli iyileştirilmesine dair bir taahhüdü </w:t>
      </w:r>
    </w:p>
    <w:p w:rsidR="0039295D" w:rsidRPr="00B0056C" w:rsidRDefault="0039295D" w:rsidP="00B0056C">
      <w:pPr>
        <w:pStyle w:val="GvdeMetni"/>
        <w:widowControl/>
        <w:spacing w:after="120" w:line="312" w:lineRule="auto"/>
        <w:jc w:val="center"/>
        <w:rPr>
          <w:sz w:val="26"/>
          <w:szCs w:val="26"/>
        </w:rPr>
      </w:pPr>
    </w:p>
    <w:p w:rsidR="00165379" w:rsidRPr="00B0056C" w:rsidRDefault="0039295D" w:rsidP="00B0056C">
      <w:pPr>
        <w:pStyle w:val="GvdeMetni"/>
        <w:spacing w:line="312" w:lineRule="auto"/>
        <w:ind w:left="720"/>
        <w:jc w:val="center"/>
        <w:rPr>
          <w:b/>
          <w:i/>
          <w:sz w:val="26"/>
          <w:szCs w:val="26"/>
          <w:u w:val="single"/>
        </w:rPr>
      </w:pPr>
      <w:r w:rsidRPr="00B0056C">
        <w:rPr>
          <w:rFonts w:cs="Times New Roman"/>
          <w:b/>
          <w:sz w:val="26"/>
          <w:szCs w:val="26"/>
        </w:rPr>
        <w:t xml:space="preserve">*****Bu ilkeler Kurumumuz ve çalışanlarımızın en temel görevi ve </w:t>
      </w:r>
      <w:r w:rsidR="00B0056C">
        <w:rPr>
          <w:rFonts w:cs="Times New Roman"/>
          <w:b/>
          <w:sz w:val="26"/>
          <w:szCs w:val="26"/>
        </w:rPr>
        <w:t xml:space="preserve">      </w:t>
      </w:r>
      <w:r w:rsidRPr="00B0056C">
        <w:rPr>
          <w:rFonts w:cs="Times New Roman"/>
          <w:b/>
          <w:sz w:val="26"/>
          <w:szCs w:val="26"/>
        </w:rPr>
        <w:t>taahhüdüdür******</w:t>
      </w:r>
    </w:p>
    <w:sectPr w:rsidR="00165379" w:rsidRPr="00B0056C" w:rsidSect="005F3FEC">
      <w:headerReference w:type="default" r:id="rId7"/>
      <w:footerReference w:type="default" r:id="rId8"/>
      <w:pgSz w:w="11906" w:h="16838"/>
      <w:pgMar w:top="426" w:right="991" w:bottom="1417" w:left="1417"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CC" w:rsidRDefault="00D735CC" w:rsidP="003A7239">
      <w:r>
        <w:separator/>
      </w:r>
    </w:p>
  </w:endnote>
  <w:endnote w:type="continuationSeparator" w:id="1">
    <w:p w:rsidR="00D735CC" w:rsidRDefault="00D735CC" w:rsidP="003A7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1"/>
      <w:gridCol w:w="4191"/>
      <w:gridCol w:w="3134"/>
    </w:tblGrid>
    <w:tr w:rsidR="00503BA7" w:rsidRPr="00075E4E" w:rsidTr="006E17ED">
      <w:trPr>
        <w:cantSplit/>
        <w:trHeight w:val="265"/>
      </w:trPr>
      <w:tc>
        <w:tcPr>
          <w:tcW w:w="4511" w:type="dxa"/>
        </w:tcPr>
        <w:p w:rsidR="00503BA7" w:rsidRPr="00075E4E" w:rsidRDefault="00503BA7" w:rsidP="006E17ED">
          <w:pPr>
            <w:pStyle w:val="Altbilgi"/>
            <w:jc w:val="center"/>
            <w:rPr>
              <w:rFonts w:cs="Times New Roman"/>
              <w:b/>
            </w:rPr>
          </w:pPr>
          <w:r w:rsidRPr="00075E4E">
            <w:rPr>
              <w:rFonts w:cs="Times New Roman"/>
              <w:b/>
            </w:rPr>
            <w:t>HAZIRLAYAN</w:t>
          </w:r>
        </w:p>
      </w:tc>
      <w:tc>
        <w:tcPr>
          <w:tcW w:w="4191" w:type="dxa"/>
        </w:tcPr>
        <w:p w:rsidR="00503BA7" w:rsidRPr="00075E4E" w:rsidRDefault="00503BA7" w:rsidP="006E17ED">
          <w:pPr>
            <w:pStyle w:val="Altbilgi"/>
            <w:jc w:val="center"/>
            <w:rPr>
              <w:rFonts w:cs="Times New Roman"/>
              <w:b/>
            </w:rPr>
          </w:pPr>
          <w:r w:rsidRPr="00075E4E">
            <w:rPr>
              <w:rFonts w:cs="Times New Roman"/>
              <w:b/>
            </w:rPr>
            <w:t>ONAY</w:t>
          </w:r>
        </w:p>
      </w:tc>
      <w:tc>
        <w:tcPr>
          <w:tcW w:w="3134" w:type="dxa"/>
        </w:tcPr>
        <w:p w:rsidR="00503BA7" w:rsidRPr="00075E4E" w:rsidRDefault="00503BA7" w:rsidP="006E17ED">
          <w:pPr>
            <w:pStyle w:val="Altbilgi"/>
            <w:jc w:val="center"/>
            <w:rPr>
              <w:rFonts w:cs="Times New Roman"/>
              <w:b/>
            </w:rPr>
          </w:pPr>
          <w:r w:rsidRPr="00075E4E">
            <w:rPr>
              <w:rFonts w:cs="Times New Roman"/>
              <w:b/>
            </w:rPr>
            <w:t xml:space="preserve">Sayfa </w:t>
          </w:r>
          <w:r>
            <w:rPr>
              <w:rFonts w:cs="Times New Roman"/>
              <w:b/>
            </w:rPr>
            <w:t>N</w:t>
          </w:r>
          <w:r w:rsidRPr="00075E4E">
            <w:rPr>
              <w:rFonts w:cs="Times New Roman"/>
              <w:b/>
            </w:rPr>
            <w:t>o</w:t>
          </w:r>
        </w:p>
      </w:tc>
    </w:tr>
    <w:tr w:rsidR="00503BA7" w:rsidRPr="00075E4E" w:rsidTr="006E17ED">
      <w:trPr>
        <w:cantSplit/>
        <w:trHeight w:val="323"/>
      </w:trPr>
      <w:tc>
        <w:tcPr>
          <w:tcW w:w="4511" w:type="dxa"/>
          <w:vAlign w:val="center"/>
        </w:tcPr>
        <w:p w:rsidR="00503BA7" w:rsidRPr="00075E4E" w:rsidRDefault="008C59E7" w:rsidP="00132651">
          <w:pPr>
            <w:jc w:val="center"/>
          </w:pPr>
          <w:r>
            <w:t>Entegre</w:t>
          </w:r>
          <w:r w:rsidR="008F019D">
            <w:t xml:space="preserve"> Yönetim</w:t>
          </w:r>
          <w:r w:rsidR="00132651">
            <w:t xml:space="preserve"> Sistemi </w:t>
          </w:r>
          <w:r w:rsidR="008F019D">
            <w:t>Temsilcisi</w:t>
          </w:r>
        </w:p>
      </w:tc>
      <w:tc>
        <w:tcPr>
          <w:tcW w:w="4191" w:type="dxa"/>
        </w:tcPr>
        <w:p w:rsidR="00503BA7" w:rsidRPr="00075E4E" w:rsidRDefault="00503BA7" w:rsidP="006E17ED">
          <w:pPr>
            <w:pStyle w:val="Altbilgi"/>
            <w:jc w:val="center"/>
            <w:rPr>
              <w:rFonts w:cs="Times New Roman"/>
            </w:rPr>
          </w:pPr>
          <w:r w:rsidRPr="00075E4E">
            <w:rPr>
              <w:rFonts w:cs="Times New Roman"/>
            </w:rPr>
            <w:t>Okul Müdürü</w:t>
          </w:r>
        </w:p>
      </w:tc>
      <w:tc>
        <w:tcPr>
          <w:tcW w:w="3134" w:type="dxa"/>
          <w:vMerge w:val="restart"/>
        </w:tcPr>
        <w:p w:rsidR="00503BA7" w:rsidRPr="00075E4E" w:rsidRDefault="00503BA7" w:rsidP="006E17ED">
          <w:pPr>
            <w:pStyle w:val="Altbilgi"/>
            <w:jc w:val="center"/>
            <w:rPr>
              <w:rFonts w:cs="Times New Roman"/>
            </w:rPr>
          </w:pPr>
          <w:r w:rsidRPr="00075E4E">
            <w:rPr>
              <w:rFonts w:cs="Times New Roman"/>
            </w:rPr>
            <w:t xml:space="preserve">Sayfa </w:t>
          </w:r>
          <w:r w:rsidR="006C5B3D" w:rsidRPr="00075E4E">
            <w:rPr>
              <w:rFonts w:cs="Times New Roman"/>
            </w:rPr>
            <w:fldChar w:fldCharType="begin"/>
          </w:r>
          <w:r w:rsidRPr="00075E4E">
            <w:rPr>
              <w:rFonts w:cs="Times New Roman"/>
            </w:rPr>
            <w:instrText xml:space="preserve"> PAGE </w:instrText>
          </w:r>
          <w:r w:rsidR="006C5B3D" w:rsidRPr="00075E4E">
            <w:rPr>
              <w:rFonts w:cs="Times New Roman"/>
            </w:rPr>
            <w:fldChar w:fldCharType="separate"/>
          </w:r>
          <w:r w:rsidR="00B46782">
            <w:rPr>
              <w:rFonts w:cs="Times New Roman"/>
              <w:noProof/>
            </w:rPr>
            <w:t>2</w:t>
          </w:r>
          <w:r w:rsidR="006C5B3D" w:rsidRPr="00075E4E">
            <w:rPr>
              <w:rFonts w:cs="Times New Roman"/>
            </w:rPr>
            <w:fldChar w:fldCharType="end"/>
          </w:r>
          <w:r w:rsidRPr="00075E4E">
            <w:rPr>
              <w:rFonts w:cs="Times New Roman"/>
            </w:rPr>
            <w:t xml:space="preserve"> / </w:t>
          </w:r>
          <w:r w:rsidR="006C5B3D" w:rsidRPr="00075E4E">
            <w:rPr>
              <w:rFonts w:cs="Times New Roman"/>
            </w:rPr>
            <w:fldChar w:fldCharType="begin"/>
          </w:r>
          <w:r w:rsidRPr="00075E4E">
            <w:rPr>
              <w:rFonts w:cs="Times New Roman"/>
            </w:rPr>
            <w:instrText xml:space="preserve"> NUMPAGES </w:instrText>
          </w:r>
          <w:r w:rsidR="006C5B3D" w:rsidRPr="00075E4E">
            <w:rPr>
              <w:rFonts w:cs="Times New Roman"/>
            </w:rPr>
            <w:fldChar w:fldCharType="separate"/>
          </w:r>
          <w:r w:rsidR="00B46782">
            <w:rPr>
              <w:rFonts w:cs="Times New Roman"/>
              <w:noProof/>
            </w:rPr>
            <w:t>3</w:t>
          </w:r>
          <w:r w:rsidR="006C5B3D" w:rsidRPr="00075E4E">
            <w:rPr>
              <w:rFonts w:cs="Times New Roman"/>
            </w:rPr>
            <w:fldChar w:fldCharType="end"/>
          </w:r>
        </w:p>
      </w:tc>
    </w:tr>
    <w:tr w:rsidR="00503BA7" w:rsidRPr="00075E4E" w:rsidTr="006E17ED">
      <w:trPr>
        <w:cantSplit/>
        <w:trHeight w:val="555"/>
      </w:trPr>
      <w:tc>
        <w:tcPr>
          <w:tcW w:w="4511" w:type="dxa"/>
        </w:tcPr>
        <w:p w:rsidR="00503BA7" w:rsidRPr="008B0BA0" w:rsidRDefault="00EE3EE8" w:rsidP="006E17ED">
          <w:pPr>
            <w:pStyle w:val="Altbilgi"/>
            <w:jc w:val="center"/>
            <w:rPr>
              <w:rFonts w:cs="Times New Roman"/>
            </w:rPr>
          </w:pPr>
          <w:r>
            <w:rPr>
              <w:rFonts w:cs="Times New Roman"/>
            </w:rPr>
            <w:t>Musa KAYA</w:t>
          </w:r>
        </w:p>
      </w:tc>
      <w:tc>
        <w:tcPr>
          <w:tcW w:w="4191" w:type="dxa"/>
        </w:tcPr>
        <w:p w:rsidR="00503BA7" w:rsidRDefault="00303CA8" w:rsidP="00303CA8">
          <w:pPr>
            <w:tabs>
              <w:tab w:val="center" w:pos="4536"/>
              <w:tab w:val="right" w:pos="9072"/>
            </w:tabs>
          </w:pPr>
          <w:r>
            <w:t xml:space="preserve">                        </w:t>
          </w:r>
          <w:r w:rsidR="00EE3EE8">
            <w:t xml:space="preserve">  </w:t>
          </w:r>
          <w:r>
            <w:t xml:space="preserve"> </w:t>
          </w:r>
          <w:r w:rsidR="00EE3EE8">
            <w:t>Murat ÖZÇELİK</w:t>
          </w:r>
        </w:p>
        <w:p w:rsidR="00503BA7" w:rsidRPr="008B0BA0" w:rsidRDefault="00503BA7" w:rsidP="006E17ED">
          <w:pPr>
            <w:pStyle w:val="Altbilgi"/>
            <w:jc w:val="center"/>
            <w:rPr>
              <w:rFonts w:cs="Times New Roman"/>
            </w:rPr>
          </w:pPr>
        </w:p>
      </w:tc>
      <w:tc>
        <w:tcPr>
          <w:tcW w:w="3134" w:type="dxa"/>
          <w:vMerge/>
        </w:tcPr>
        <w:p w:rsidR="00503BA7" w:rsidRPr="00075E4E" w:rsidRDefault="00503BA7" w:rsidP="006E17ED">
          <w:pPr>
            <w:pStyle w:val="Altbilgi"/>
            <w:rPr>
              <w:rFonts w:cs="Times New Roman"/>
            </w:rPr>
          </w:pPr>
        </w:p>
      </w:tc>
    </w:tr>
  </w:tbl>
  <w:p w:rsidR="00503BA7" w:rsidRDefault="00503B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CC" w:rsidRDefault="00D735CC" w:rsidP="003A7239">
      <w:r>
        <w:separator/>
      </w:r>
    </w:p>
  </w:footnote>
  <w:footnote w:type="continuationSeparator" w:id="1">
    <w:p w:rsidR="00D735CC" w:rsidRDefault="00D735CC" w:rsidP="003A7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0" w:type="dxa"/>
      <w:tblInd w:w="-1149" w:type="dxa"/>
      <w:tblBorders>
        <w:top w:val="single" w:sz="4" w:space="0" w:color="auto"/>
        <w:left w:val="single" w:sz="4" w:space="0" w:color="auto"/>
        <w:bottom w:val="single" w:sz="4" w:space="0" w:color="auto"/>
        <w:right w:val="single" w:sz="4" w:space="0" w:color="auto"/>
      </w:tblBorders>
      <w:tblLook w:val="04A0"/>
    </w:tblPr>
    <w:tblGrid>
      <w:gridCol w:w="2526"/>
      <w:gridCol w:w="4620"/>
      <w:gridCol w:w="1899"/>
      <w:gridCol w:w="2345"/>
    </w:tblGrid>
    <w:tr w:rsidR="00132651" w:rsidRPr="00075E4E" w:rsidTr="00D6635F">
      <w:trPr>
        <w:trHeight w:val="257"/>
      </w:trPr>
      <w:tc>
        <w:tcPr>
          <w:tcW w:w="2249" w:type="dxa"/>
          <w:vMerge w:val="restart"/>
          <w:tcBorders>
            <w:top w:val="single" w:sz="4" w:space="0" w:color="auto"/>
            <w:left w:val="single" w:sz="4" w:space="0" w:color="auto"/>
            <w:bottom w:val="single" w:sz="4" w:space="0" w:color="auto"/>
            <w:right w:val="single" w:sz="4" w:space="0" w:color="auto"/>
          </w:tcBorders>
          <w:hideMark/>
        </w:tcPr>
        <w:p w:rsidR="00132651" w:rsidRPr="00075E4E" w:rsidRDefault="00592A78" w:rsidP="005C3FF1">
          <w:r>
            <w:rPr>
              <w:noProof/>
              <w:lang w:eastAsia="tr-TR"/>
            </w:rPr>
            <w:drawing>
              <wp:inline distT="0" distB="0" distL="0" distR="0">
                <wp:extent cx="1438275" cy="1438275"/>
                <wp:effectExtent l="19050" t="0" r="9525" b="0"/>
                <wp:docPr id="2" name="Resim 1" descr="921742b7-4b96-4619-8151-1bef503a9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1742b7-4b96-4619-8151-1bef503a9e09"/>
                        <pic:cNvPicPr>
                          <a:picLocks noChangeAspect="1" noChangeArrowheads="1"/>
                        </pic:cNvPicPr>
                      </pic:nvPicPr>
                      <pic:blipFill>
                        <a:blip r:embed="rId1"/>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4795" w:type="dxa"/>
          <w:vMerge w:val="restart"/>
          <w:tcBorders>
            <w:top w:val="single" w:sz="4" w:space="0" w:color="auto"/>
            <w:left w:val="single" w:sz="4" w:space="0" w:color="auto"/>
            <w:bottom w:val="single" w:sz="4" w:space="0" w:color="auto"/>
            <w:right w:val="single" w:sz="4" w:space="0" w:color="auto"/>
          </w:tcBorders>
        </w:tcPr>
        <w:p w:rsidR="00132651" w:rsidRPr="009A1DA1" w:rsidRDefault="00132651" w:rsidP="005C3FF1">
          <w:pPr>
            <w:tabs>
              <w:tab w:val="center" w:pos="4536"/>
              <w:tab w:val="right" w:pos="9072"/>
            </w:tabs>
            <w:jc w:val="center"/>
            <w:rPr>
              <w:b/>
              <w:bCs/>
            </w:rPr>
          </w:pPr>
          <w:r w:rsidRPr="009A1DA1">
            <w:rPr>
              <w:b/>
            </w:rPr>
            <w:t>T.C.</w:t>
          </w:r>
        </w:p>
        <w:p w:rsidR="00132651" w:rsidRPr="009A1DA1" w:rsidRDefault="00132651" w:rsidP="005C3FF1">
          <w:pPr>
            <w:tabs>
              <w:tab w:val="center" w:pos="4536"/>
              <w:tab w:val="right" w:pos="9072"/>
            </w:tabs>
            <w:jc w:val="center"/>
            <w:rPr>
              <w:b/>
              <w:bCs/>
            </w:rPr>
          </w:pPr>
          <w:r w:rsidRPr="009A1DA1">
            <w:rPr>
              <w:b/>
            </w:rPr>
            <w:t>CEYLANPINAR KAYMAKAMLIĞI</w:t>
          </w:r>
        </w:p>
        <w:p w:rsidR="00132651" w:rsidRPr="00075E4E" w:rsidRDefault="008D37E4" w:rsidP="005C3FF1">
          <w:pPr>
            <w:pStyle w:val="stbilgi"/>
            <w:jc w:val="center"/>
            <w:rPr>
              <w:rFonts w:cs="Times New Roman"/>
              <w:b/>
            </w:rPr>
          </w:pPr>
          <w:r>
            <w:rPr>
              <w:b/>
            </w:rPr>
            <w:t>Halime Hatun Anaokulu</w:t>
          </w:r>
        </w:p>
      </w:tc>
      <w:tc>
        <w:tcPr>
          <w:tcW w:w="1948"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Doküman No</w:t>
          </w:r>
        </w:p>
      </w:tc>
      <w:tc>
        <w:tcPr>
          <w:tcW w:w="2398" w:type="dxa"/>
          <w:tcBorders>
            <w:top w:val="single" w:sz="4" w:space="0" w:color="auto"/>
            <w:left w:val="single" w:sz="4" w:space="0" w:color="auto"/>
            <w:bottom w:val="single" w:sz="4" w:space="0" w:color="auto"/>
            <w:right w:val="single" w:sz="4" w:space="0" w:color="auto"/>
          </w:tcBorders>
        </w:tcPr>
        <w:p w:rsidR="00132651" w:rsidRPr="00205B11" w:rsidRDefault="008D37E4" w:rsidP="005C3FF1">
          <w:r>
            <w:t>HAL</w:t>
          </w:r>
          <w:r w:rsidR="00462F5E">
            <w:t>.DKM.003</w:t>
          </w:r>
        </w:p>
      </w:tc>
    </w:tr>
    <w:tr w:rsidR="00132651" w:rsidRPr="00075E4E" w:rsidTr="00D6635F">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79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948"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Yayın No</w:t>
          </w:r>
        </w:p>
      </w:tc>
      <w:tc>
        <w:tcPr>
          <w:tcW w:w="2398" w:type="dxa"/>
          <w:tcBorders>
            <w:top w:val="single" w:sz="4" w:space="0" w:color="auto"/>
            <w:left w:val="single" w:sz="4" w:space="0" w:color="auto"/>
            <w:bottom w:val="single" w:sz="4" w:space="0" w:color="auto"/>
            <w:right w:val="single" w:sz="4" w:space="0" w:color="auto"/>
          </w:tcBorders>
        </w:tcPr>
        <w:p w:rsidR="00132651" w:rsidRPr="00205B11" w:rsidRDefault="00132651" w:rsidP="005C3FF1">
          <w:r w:rsidRPr="00205B11">
            <w:t>1</w:t>
          </w:r>
        </w:p>
      </w:tc>
    </w:tr>
    <w:tr w:rsidR="00132651" w:rsidRPr="00075E4E" w:rsidTr="00D6635F">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79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948"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Yayın Tarihi</w:t>
          </w:r>
        </w:p>
      </w:tc>
      <w:tc>
        <w:tcPr>
          <w:tcW w:w="2398" w:type="dxa"/>
          <w:tcBorders>
            <w:top w:val="single" w:sz="4" w:space="0" w:color="auto"/>
            <w:left w:val="single" w:sz="4" w:space="0" w:color="auto"/>
            <w:bottom w:val="single" w:sz="4" w:space="0" w:color="auto"/>
            <w:right w:val="single" w:sz="4" w:space="0" w:color="auto"/>
          </w:tcBorders>
        </w:tcPr>
        <w:p w:rsidR="00132651" w:rsidRPr="00205B11" w:rsidRDefault="008D37E4" w:rsidP="008D37E4">
          <w:r>
            <w:t>03</w:t>
          </w:r>
          <w:r w:rsidR="00132651">
            <w:t>/</w:t>
          </w:r>
          <w:r>
            <w:t>08/2022</w:t>
          </w:r>
        </w:p>
      </w:tc>
    </w:tr>
    <w:tr w:rsidR="00132651" w:rsidRPr="00075E4E" w:rsidTr="00D6635F">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79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948"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Revizyon Tarihi</w:t>
          </w:r>
        </w:p>
      </w:tc>
      <w:tc>
        <w:tcPr>
          <w:tcW w:w="2398" w:type="dxa"/>
          <w:tcBorders>
            <w:top w:val="single" w:sz="4" w:space="0" w:color="auto"/>
            <w:left w:val="single" w:sz="4" w:space="0" w:color="auto"/>
            <w:bottom w:val="single" w:sz="4" w:space="0" w:color="auto"/>
            <w:right w:val="single" w:sz="4" w:space="0" w:color="auto"/>
          </w:tcBorders>
        </w:tcPr>
        <w:p w:rsidR="00132651" w:rsidRPr="00205B11" w:rsidRDefault="00132651" w:rsidP="005C3FF1">
          <w:r>
            <w:t>0</w:t>
          </w:r>
        </w:p>
      </w:tc>
    </w:tr>
    <w:tr w:rsidR="00132651" w:rsidRPr="00075E4E" w:rsidTr="00D6635F">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795" w:type="dxa"/>
          <w:vMerge w:val="restart"/>
          <w:tcBorders>
            <w:top w:val="single" w:sz="4" w:space="0" w:color="auto"/>
            <w:left w:val="single" w:sz="4" w:space="0" w:color="auto"/>
            <w:bottom w:val="single" w:sz="4" w:space="0" w:color="auto"/>
            <w:right w:val="single" w:sz="4" w:space="0" w:color="auto"/>
          </w:tcBorders>
          <w:vAlign w:val="center"/>
          <w:hideMark/>
        </w:tcPr>
        <w:p w:rsidR="00132651" w:rsidRPr="00075E4E" w:rsidRDefault="008C59E7" w:rsidP="005C3FF1">
          <w:pPr>
            <w:pStyle w:val="stbilgi"/>
            <w:jc w:val="center"/>
            <w:rPr>
              <w:rFonts w:eastAsia="Calibri" w:cs="Times New Roman"/>
              <w:b/>
            </w:rPr>
          </w:pPr>
          <w:r>
            <w:rPr>
              <w:rFonts w:cs="Times New Roman"/>
              <w:b/>
            </w:rPr>
            <w:t>ENTEGRE</w:t>
          </w:r>
          <w:r w:rsidR="00132651">
            <w:rPr>
              <w:rFonts w:cs="Times New Roman"/>
              <w:b/>
            </w:rPr>
            <w:t xml:space="preserve"> POLİTİKAMIZ</w:t>
          </w:r>
        </w:p>
        <w:p w:rsidR="00132651" w:rsidRPr="00075E4E" w:rsidRDefault="00132651" w:rsidP="005C3FF1">
          <w:pPr>
            <w:pStyle w:val="stbilgi"/>
            <w:rPr>
              <w:rFonts w:cs="Times New Roman"/>
              <w:b/>
            </w:rPr>
          </w:pPr>
        </w:p>
      </w:tc>
      <w:tc>
        <w:tcPr>
          <w:tcW w:w="1948"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Revizyon Sayısı</w:t>
          </w:r>
        </w:p>
      </w:tc>
      <w:tc>
        <w:tcPr>
          <w:tcW w:w="2398" w:type="dxa"/>
          <w:tcBorders>
            <w:top w:val="single" w:sz="4" w:space="0" w:color="auto"/>
            <w:left w:val="single" w:sz="4" w:space="0" w:color="auto"/>
            <w:bottom w:val="single" w:sz="4" w:space="0" w:color="auto"/>
            <w:right w:val="single" w:sz="4" w:space="0" w:color="auto"/>
          </w:tcBorders>
        </w:tcPr>
        <w:p w:rsidR="00132651" w:rsidRPr="00205B11" w:rsidRDefault="00132651" w:rsidP="005C3FF1">
          <w:r>
            <w:t>0</w:t>
          </w:r>
        </w:p>
      </w:tc>
    </w:tr>
    <w:tr w:rsidR="00132651" w:rsidRPr="00075E4E" w:rsidTr="00D6635F">
      <w:trPr>
        <w:trHeight w:val="72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79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948" w:type="dxa"/>
          <w:tcBorders>
            <w:top w:val="single" w:sz="4" w:space="0" w:color="auto"/>
            <w:left w:val="single" w:sz="4" w:space="0" w:color="auto"/>
            <w:bottom w:val="single" w:sz="4" w:space="0" w:color="auto"/>
            <w:right w:val="single" w:sz="4" w:space="0" w:color="auto"/>
          </w:tcBorders>
          <w:vAlign w:val="center"/>
          <w:hideMark/>
        </w:tcPr>
        <w:p w:rsidR="00132651" w:rsidRPr="00205B11" w:rsidRDefault="00132651" w:rsidP="005C3FF1">
          <w:r w:rsidRPr="00205B11">
            <w:t>Kurum Kodu</w:t>
          </w:r>
        </w:p>
      </w:tc>
      <w:tc>
        <w:tcPr>
          <w:tcW w:w="2398" w:type="dxa"/>
          <w:tcBorders>
            <w:top w:val="single" w:sz="4" w:space="0" w:color="auto"/>
            <w:left w:val="single" w:sz="4" w:space="0" w:color="auto"/>
            <w:bottom w:val="single" w:sz="4" w:space="0" w:color="auto"/>
            <w:right w:val="single" w:sz="4" w:space="0" w:color="auto"/>
          </w:tcBorders>
          <w:vAlign w:val="center"/>
        </w:tcPr>
        <w:p w:rsidR="00132651" w:rsidRPr="00205B11" w:rsidRDefault="008C74A0" w:rsidP="005C3FF1">
          <w:r>
            <w:t>846604</w:t>
          </w:r>
        </w:p>
      </w:tc>
    </w:tr>
  </w:tbl>
  <w:p w:rsidR="003156E9" w:rsidRDefault="003156E9" w:rsidP="000A67BF">
    <w:pPr>
      <w:pStyle w:val="stbilgi"/>
      <w:tabs>
        <w:tab w:val="clear" w:pos="4536"/>
        <w:tab w:val="clear" w:pos="9072"/>
        <w:tab w:val="left" w:pos="58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0E94"/>
    <w:multiLevelType w:val="hybridMultilevel"/>
    <w:tmpl w:val="D04CB0FA"/>
    <w:lvl w:ilvl="0" w:tplc="334AF54A">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DF7FF5"/>
    <w:multiLevelType w:val="hybridMultilevel"/>
    <w:tmpl w:val="704817D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65A1565"/>
    <w:multiLevelType w:val="hybridMultilevel"/>
    <w:tmpl w:val="E51AB86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436E1D0D"/>
    <w:multiLevelType w:val="hybridMultilevel"/>
    <w:tmpl w:val="7288616E"/>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
    <w:nsid w:val="4A6D69C8"/>
    <w:multiLevelType w:val="hybridMultilevel"/>
    <w:tmpl w:val="B9E87D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167051"/>
    <w:multiLevelType w:val="hybridMultilevel"/>
    <w:tmpl w:val="41E68A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E5831A9"/>
    <w:multiLevelType w:val="hybridMultilevel"/>
    <w:tmpl w:val="EC7E23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9C1FC5"/>
    <w:multiLevelType w:val="hybridMultilevel"/>
    <w:tmpl w:val="DA94EDB6"/>
    <w:lvl w:ilvl="0" w:tplc="0DD6487A">
      <w:start w:val="1"/>
      <w:numFmt w:val="bullet"/>
      <w:lvlText w:val="•"/>
      <w:lvlJc w:val="left"/>
      <w:pPr>
        <w:ind w:left="5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20A7036">
      <w:start w:val="1"/>
      <w:numFmt w:val="bullet"/>
      <w:lvlText w:val="o"/>
      <w:lvlJc w:val="left"/>
      <w:pPr>
        <w:ind w:left="13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4CC7EE">
      <w:start w:val="1"/>
      <w:numFmt w:val="bullet"/>
      <w:lvlText w:val="▪"/>
      <w:lvlJc w:val="left"/>
      <w:pPr>
        <w:ind w:left="20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0A4571A">
      <w:start w:val="1"/>
      <w:numFmt w:val="bullet"/>
      <w:lvlText w:val="•"/>
      <w:lvlJc w:val="left"/>
      <w:pPr>
        <w:ind w:left="27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1275D6">
      <w:start w:val="1"/>
      <w:numFmt w:val="bullet"/>
      <w:lvlText w:val="o"/>
      <w:lvlJc w:val="left"/>
      <w:pPr>
        <w:ind w:left="34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1E8E72E">
      <w:start w:val="1"/>
      <w:numFmt w:val="bullet"/>
      <w:lvlText w:val="▪"/>
      <w:lvlJc w:val="left"/>
      <w:pPr>
        <w:ind w:left="41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CF4B618">
      <w:start w:val="1"/>
      <w:numFmt w:val="bullet"/>
      <w:lvlText w:val="•"/>
      <w:lvlJc w:val="left"/>
      <w:pPr>
        <w:ind w:left="49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C16CE4E">
      <w:start w:val="1"/>
      <w:numFmt w:val="bullet"/>
      <w:lvlText w:val="o"/>
      <w:lvlJc w:val="left"/>
      <w:pPr>
        <w:ind w:left="56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B98AAC2">
      <w:start w:val="1"/>
      <w:numFmt w:val="bullet"/>
      <w:lvlText w:val="▪"/>
      <w:lvlJc w:val="left"/>
      <w:pPr>
        <w:ind w:left="63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76463A30"/>
    <w:multiLevelType w:val="hybridMultilevel"/>
    <w:tmpl w:val="F02440F6"/>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num w:numId="1">
    <w:abstractNumId w:val="5"/>
  </w:num>
  <w:num w:numId="2">
    <w:abstractNumId w:val="6"/>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applyBreakingRules/>
    <w:useFELayout/>
  </w:compat>
  <w:rsids>
    <w:rsidRoot w:val="003818D4"/>
    <w:rsid w:val="0003083A"/>
    <w:rsid w:val="000369C6"/>
    <w:rsid w:val="0004620C"/>
    <w:rsid w:val="0005131A"/>
    <w:rsid w:val="0007009E"/>
    <w:rsid w:val="00082613"/>
    <w:rsid w:val="000876F3"/>
    <w:rsid w:val="000879AB"/>
    <w:rsid w:val="00093BFF"/>
    <w:rsid w:val="000A16BB"/>
    <w:rsid w:val="000A67BF"/>
    <w:rsid w:val="000C2FB7"/>
    <w:rsid w:val="000C3B74"/>
    <w:rsid w:val="000D7185"/>
    <w:rsid w:val="000E7DF1"/>
    <w:rsid w:val="000F3BB8"/>
    <w:rsid w:val="000F5362"/>
    <w:rsid w:val="00104AF6"/>
    <w:rsid w:val="00132651"/>
    <w:rsid w:val="00164BDB"/>
    <w:rsid w:val="00165379"/>
    <w:rsid w:val="001E3567"/>
    <w:rsid w:val="001F290B"/>
    <w:rsid w:val="001F67AE"/>
    <w:rsid w:val="00210C7B"/>
    <w:rsid w:val="00210DDE"/>
    <w:rsid w:val="002309BE"/>
    <w:rsid w:val="002573F5"/>
    <w:rsid w:val="00290BEE"/>
    <w:rsid w:val="002C3654"/>
    <w:rsid w:val="002C38DA"/>
    <w:rsid w:val="00303CA8"/>
    <w:rsid w:val="003156E9"/>
    <w:rsid w:val="003540C0"/>
    <w:rsid w:val="003727BF"/>
    <w:rsid w:val="00380864"/>
    <w:rsid w:val="003818D4"/>
    <w:rsid w:val="0039295D"/>
    <w:rsid w:val="003A7239"/>
    <w:rsid w:val="00420498"/>
    <w:rsid w:val="004205DD"/>
    <w:rsid w:val="0042516E"/>
    <w:rsid w:val="00436ECF"/>
    <w:rsid w:val="004428BC"/>
    <w:rsid w:val="00450071"/>
    <w:rsid w:val="00462F5E"/>
    <w:rsid w:val="00486123"/>
    <w:rsid w:val="004B7B54"/>
    <w:rsid w:val="004E5605"/>
    <w:rsid w:val="004F5469"/>
    <w:rsid w:val="00503BA7"/>
    <w:rsid w:val="005163F0"/>
    <w:rsid w:val="00522AFD"/>
    <w:rsid w:val="00550366"/>
    <w:rsid w:val="0055779B"/>
    <w:rsid w:val="00592A78"/>
    <w:rsid w:val="005E3279"/>
    <w:rsid w:val="005F3FEC"/>
    <w:rsid w:val="006148A3"/>
    <w:rsid w:val="0065537E"/>
    <w:rsid w:val="00667E9E"/>
    <w:rsid w:val="006A4C0D"/>
    <w:rsid w:val="006B06C4"/>
    <w:rsid w:val="006B7071"/>
    <w:rsid w:val="006C5B3D"/>
    <w:rsid w:val="00704964"/>
    <w:rsid w:val="00705A4E"/>
    <w:rsid w:val="00750646"/>
    <w:rsid w:val="007C087E"/>
    <w:rsid w:val="007F7296"/>
    <w:rsid w:val="00801126"/>
    <w:rsid w:val="008431D8"/>
    <w:rsid w:val="00852C01"/>
    <w:rsid w:val="008C59E7"/>
    <w:rsid w:val="008C74A0"/>
    <w:rsid w:val="008D37E4"/>
    <w:rsid w:val="008E5DA8"/>
    <w:rsid w:val="008F019D"/>
    <w:rsid w:val="00900797"/>
    <w:rsid w:val="009053F5"/>
    <w:rsid w:val="00951217"/>
    <w:rsid w:val="00957F85"/>
    <w:rsid w:val="009B17F3"/>
    <w:rsid w:val="009D316E"/>
    <w:rsid w:val="009D35F5"/>
    <w:rsid w:val="00A11090"/>
    <w:rsid w:val="00A27A99"/>
    <w:rsid w:val="00A460C2"/>
    <w:rsid w:val="00A82AB5"/>
    <w:rsid w:val="00A87313"/>
    <w:rsid w:val="00AA504A"/>
    <w:rsid w:val="00AB23D9"/>
    <w:rsid w:val="00AC6F6C"/>
    <w:rsid w:val="00AD5718"/>
    <w:rsid w:val="00AD6E8A"/>
    <w:rsid w:val="00AE4237"/>
    <w:rsid w:val="00B0056C"/>
    <w:rsid w:val="00B36240"/>
    <w:rsid w:val="00B42F2A"/>
    <w:rsid w:val="00B46782"/>
    <w:rsid w:val="00BA16D3"/>
    <w:rsid w:val="00BE5547"/>
    <w:rsid w:val="00C57D41"/>
    <w:rsid w:val="00C71A76"/>
    <w:rsid w:val="00C74985"/>
    <w:rsid w:val="00C82C47"/>
    <w:rsid w:val="00C85B39"/>
    <w:rsid w:val="00CB404D"/>
    <w:rsid w:val="00CB66B9"/>
    <w:rsid w:val="00D437F6"/>
    <w:rsid w:val="00D47012"/>
    <w:rsid w:val="00D64CE9"/>
    <w:rsid w:val="00D6601D"/>
    <w:rsid w:val="00D6635F"/>
    <w:rsid w:val="00D735CC"/>
    <w:rsid w:val="00D877A0"/>
    <w:rsid w:val="00DB00A0"/>
    <w:rsid w:val="00DC3250"/>
    <w:rsid w:val="00E065F7"/>
    <w:rsid w:val="00E135F8"/>
    <w:rsid w:val="00E31F59"/>
    <w:rsid w:val="00E4326B"/>
    <w:rsid w:val="00E61408"/>
    <w:rsid w:val="00E6184A"/>
    <w:rsid w:val="00EB6C0C"/>
    <w:rsid w:val="00EC7871"/>
    <w:rsid w:val="00EE0EE8"/>
    <w:rsid w:val="00EE3EE8"/>
    <w:rsid w:val="00EF14B3"/>
    <w:rsid w:val="00F319D9"/>
    <w:rsid w:val="00F43EFF"/>
    <w:rsid w:val="00F5318E"/>
    <w:rsid w:val="00F65547"/>
    <w:rsid w:val="00F67905"/>
    <w:rsid w:val="00F8595E"/>
    <w:rsid w:val="00FA2727"/>
    <w:rsid w:val="00FE2EC6"/>
    <w:rsid w:val="00FE6319"/>
    <w:rsid w:val="00FF2C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18D4"/>
    <w:pPr>
      <w:widowControl w:val="0"/>
      <w:spacing w:after="0" w:line="240" w:lineRule="auto"/>
    </w:pPr>
    <w:rPr>
      <w:rFonts w:eastAsiaTheme="minorHAnsi"/>
      <w:lang w:eastAsia="en-US"/>
    </w:rPr>
  </w:style>
  <w:style w:type="paragraph" w:styleId="Balk2">
    <w:name w:val="heading 2"/>
    <w:basedOn w:val="Normal"/>
    <w:next w:val="Normal"/>
    <w:link w:val="Balk2Char"/>
    <w:uiPriority w:val="9"/>
    <w:semiHidden/>
    <w:unhideWhenUsed/>
    <w:qFormat/>
    <w:rsid w:val="0039295D"/>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aliases w:val="h"/>
    <w:basedOn w:val="Normal"/>
    <w:link w:val="stbilgiChar"/>
    <w:uiPriority w:val="99"/>
    <w:unhideWhenUsed/>
    <w:rsid w:val="003A7239"/>
    <w:pPr>
      <w:tabs>
        <w:tab w:val="center" w:pos="4536"/>
        <w:tab w:val="right" w:pos="9072"/>
      </w:tabs>
    </w:pPr>
  </w:style>
  <w:style w:type="character" w:customStyle="1" w:styleId="stbilgiChar">
    <w:name w:val="Üstbilgi Char"/>
    <w:aliases w:val="h Char"/>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bilgi Char"/>
    <w:basedOn w:val="VarsaylanParagrafYazTipi"/>
    <w:link w:val="Altbilgi"/>
    <w:rsid w:val="003A7239"/>
    <w:rPr>
      <w:rFonts w:eastAsiaTheme="minorHAnsi"/>
      <w:lang w:val="en-US" w:eastAsia="en-US"/>
    </w:rPr>
  </w:style>
  <w:style w:type="paragraph" w:styleId="ListeParagraf">
    <w:name w:val="List Paragraph"/>
    <w:basedOn w:val="Normal"/>
    <w:uiPriority w:val="34"/>
    <w:qFormat/>
    <w:rsid w:val="000A67BF"/>
    <w:pPr>
      <w:ind w:left="720"/>
      <w:contextualSpacing/>
    </w:pPr>
  </w:style>
  <w:style w:type="table" w:styleId="TabloKlavuzu">
    <w:name w:val="Table Grid"/>
    <w:basedOn w:val="NormalTablo"/>
    <w:uiPriority w:val="39"/>
    <w:rsid w:val="001653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5A4E"/>
    <w:rPr>
      <w:rFonts w:ascii="Tahoma" w:hAnsi="Tahoma" w:cs="Tahoma"/>
      <w:sz w:val="16"/>
      <w:szCs w:val="16"/>
    </w:rPr>
  </w:style>
  <w:style w:type="character" w:customStyle="1" w:styleId="BalonMetniChar">
    <w:name w:val="Balon Metni Char"/>
    <w:basedOn w:val="VarsaylanParagrafYazTipi"/>
    <w:link w:val="BalonMetni"/>
    <w:uiPriority w:val="99"/>
    <w:semiHidden/>
    <w:rsid w:val="00705A4E"/>
    <w:rPr>
      <w:rFonts w:ascii="Tahoma" w:eastAsiaTheme="minorHAnsi" w:hAnsi="Tahoma" w:cs="Tahoma"/>
      <w:sz w:val="16"/>
      <w:szCs w:val="16"/>
      <w:lang w:eastAsia="en-US"/>
    </w:rPr>
  </w:style>
  <w:style w:type="character" w:customStyle="1" w:styleId="Balk2Char">
    <w:name w:val="Başlık 2 Char"/>
    <w:basedOn w:val="VarsaylanParagrafYazTipi"/>
    <w:link w:val="Balk2"/>
    <w:uiPriority w:val="9"/>
    <w:semiHidden/>
    <w:rsid w:val="0039295D"/>
    <w:rPr>
      <w:rFonts w:asciiTheme="majorHAnsi" w:eastAsiaTheme="majorEastAsia" w:hAnsiTheme="majorHAnsi" w:cstheme="majorBidi"/>
      <w:b/>
      <w:bCs/>
      <w:color w:val="5B9BD5"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335730">
      <w:bodyDiv w:val="1"/>
      <w:marLeft w:val="0"/>
      <w:marRight w:val="0"/>
      <w:marTop w:val="0"/>
      <w:marBottom w:val="0"/>
      <w:divBdr>
        <w:top w:val="none" w:sz="0" w:space="0" w:color="auto"/>
        <w:left w:val="none" w:sz="0" w:space="0" w:color="auto"/>
        <w:bottom w:val="none" w:sz="0" w:space="0" w:color="auto"/>
        <w:right w:val="none" w:sz="0" w:space="0" w:color="auto"/>
      </w:divBdr>
    </w:div>
    <w:div w:id="1272666114">
      <w:bodyDiv w:val="1"/>
      <w:marLeft w:val="0"/>
      <w:marRight w:val="0"/>
      <w:marTop w:val="0"/>
      <w:marBottom w:val="0"/>
      <w:divBdr>
        <w:top w:val="none" w:sz="0" w:space="0" w:color="auto"/>
        <w:left w:val="none" w:sz="0" w:space="0" w:color="auto"/>
        <w:bottom w:val="none" w:sz="0" w:space="0" w:color="auto"/>
        <w:right w:val="none" w:sz="0" w:space="0" w:color="auto"/>
      </w:divBdr>
    </w:div>
    <w:div w:id="1984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 mtal</dc:creator>
  <cp:lastModifiedBy>pc</cp:lastModifiedBy>
  <cp:revision>45</cp:revision>
  <dcterms:created xsi:type="dcterms:W3CDTF">2019-12-25T09:56:00Z</dcterms:created>
  <dcterms:modified xsi:type="dcterms:W3CDTF">2022-08-22T10:51:00Z</dcterms:modified>
</cp:coreProperties>
</file>